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2320"/>
        <w:gridCol w:w="2268"/>
        <w:gridCol w:w="2127"/>
      </w:tblGrid>
      <w:tr w:rsidR="00133576" w:rsidRPr="00CE7F42" w:rsidTr="00CD4C1C">
        <w:trPr>
          <w:trHeight w:val="925"/>
        </w:trPr>
        <w:tc>
          <w:tcPr>
            <w:tcW w:w="1649" w:type="dxa"/>
            <w:shd w:val="clear" w:color="auto" w:fill="auto"/>
          </w:tcPr>
          <w:p w:rsidR="00133576" w:rsidRPr="00536A45" w:rsidRDefault="00133576" w:rsidP="00CD4C1C">
            <w:pPr>
              <w:widowControl/>
              <w:kinsoku w:val="0"/>
              <w:overflowPunct w:val="0"/>
              <w:ind w:rightChars="-47" w:right="-99" w:firstLineChars="300" w:firstLine="542"/>
              <w:textAlignment w:val="baseline"/>
              <w:rPr>
                <w:rFonts w:ascii="ＭＳ 明朝" w:hAnsi="ＭＳ 明朝"/>
                <w:kern w:val="24"/>
                <w:sz w:val="18"/>
                <w:szCs w:val="21"/>
              </w:rPr>
            </w:pPr>
            <w:r>
              <w:rPr>
                <w:rFonts w:ascii="ＭＳ ゴシック" w:eastAsia="ＭＳ ゴシック" w:hAnsi="ＭＳ ゴシック" w:hint="eastAsia"/>
                <w:b/>
                <w:noProof/>
                <w:kern w:val="24"/>
                <w:sz w:val="18"/>
                <w:szCs w:val="21"/>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9525</wp:posOffset>
                      </wp:positionV>
                      <wp:extent cx="1057275" cy="676275"/>
                      <wp:effectExtent l="0" t="0" r="28575" b="2857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C44DE" id="_x0000_t32" coordsize="21600,21600" o:spt="32" o:oned="t" path="m,l21600,21600e" filled="f">
                      <v:path arrowok="t" fillok="f" o:connecttype="none"/>
                      <o:lock v:ext="edit" shapetype="t"/>
                    </v:shapetype>
                    <v:shape id="直線矢印コネクタ 1" o:spid="_x0000_s1026" type="#_x0000_t32" style="position:absolute;left:0;text-align:left;margin-left:-4.95pt;margin-top:.75pt;width:83.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"/>
                  </w:pict>
                </mc:Fallback>
              </mc:AlternateContent>
            </w:r>
            <w:r>
              <w:rPr>
                <w:rFonts w:ascii="ＭＳ 明朝" w:hAnsi="ＭＳ 明朝" w:hint="eastAsia"/>
                <w:kern w:val="24"/>
                <w:sz w:val="18"/>
                <w:szCs w:val="21"/>
              </w:rPr>
              <w:t>評価の観点</w:t>
            </w:r>
          </w:p>
          <w:p w:rsidR="00133576" w:rsidRDefault="00133576" w:rsidP="00CD4C1C">
            <w:pPr>
              <w:widowControl/>
              <w:kinsoku w:val="0"/>
              <w:overflowPunct w:val="0"/>
              <w:textAlignment w:val="baseline"/>
              <w:rPr>
                <w:rFonts w:ascii="ＭＳ 明朝" w:hAnsi="ＭＳ 明朝"/>
                <w:kern w:val="24"/>
                <w:sz w:val="18"/>
                <w:szCs w:val="21"/>
              </w:rPr>
            </w:pPr>
          </w:p>
          <w:p w:rsidR="00133576" w:rsidRPr="00536A45" w:rsidRDefault="00133576" w:rsidP="00CD4C1C">
            <w:pPr>
              <w:widowControl/>
              <w:kinsoku w:val="0"/>
              <w:overflowPunct w:val="0"/>
              <w:textAlignment w:val="baseline"/>
              <w:rPr>
                <w:rFonts w:ascii="ＭＳ 明朝" w:hAnsi="ＭＳ 明朝"/>
                <w:kern w:val="24"/>
                <w:sz w:val="18"/>
                <w:szCs w:val="21"/>
              </w:rPr>
            </w:pPr>
            <w:r>
              <w:rPr>
                <w:rFonts w:ascii="ＭＳ 明朝" w:hAnsi="ＭＳ 明朝" w:hint="eastAsia"/>
                <w:kern w:val="24"/>
                <w:sz w:val="18"/>
                <w:szCs w:val="21"/>
              </w:rPr>
              <w:t>評価の</w:t>
            </w:r>
            <w:r w:rsidRPr="00536A45">
              <w:rPr>
                <w:rFonts w:ascii="ＭＳ 明朝" w:hAnsi="ＭＳ 明朝" w:hint="eastAsia"/>
                <w:kern w:val="24"/>
                <w:sz w:val="18"/>
                <w:szCs w:val="21"/>
              </w:rPr>
              <w:t>レベル</w:t>
            </w:r>
          </w:p>
        </w:tc>
        <w:tc>
          <w:tcPr>
            <w:tcW w:w="2320" w:type="dxa"/>
            <w:shd w:val="clear" w:color="auto" w:fill="auto"/>
          </w:tcPr>
          <w:p w:rsidR="00133576" w:rsidRDefault="00133576" w:rsidP="00CD4C1C">
            <w:pPr>
              <w:widowControl/>
              <w:kinsoku w:val="0"/>
              <w:overflowPunct w:val="0"/>
              <w:textAlignment w:val="baseline"/>
              <w:rPr>
                <w:rFonts w:ascii="ＭＳ 明朝" w:hAnsi="ＭＳ 明朝"/>
                <w:kern w:val="24"/>
                <w:szCs w:val="21"/>
              </w:rPr>
            </w:pPr>
            <w:r w:rsidRPr="00536A45">
              <w:rPr>
                <w:rFonts w:ascii="ＭＳ 明朝" w:hAnsi="ＭＳ 明朝" w:hint="eastAsia"/>
                <w:kern w:val="24"/>
                <w:szCs w:val="21"/>
              </w:rPr>
              <w:t>学級</w:t>
            </w:r>
            <w:r w:rsidR="0040542A">
              <w:rPr>
                <w:rFonts w:ascii="ＭＳ 明朝" w:hAnsi="ＭＳ 明朝" w:hint="eastAsia"/>
                <w:kern w:val="24"/>
                <w:szCs w:val="21"/>
              </w:rPr>
              <w:t>会ノートに</w:t>
            </w:r>
          </w:p>
          <w:p w:rsidR="0040542A" w:rsidRPr="00536A45" w:rsidRDefault="0040542A" w:rsidP="00CD4C1C">
            <w:pPr>
              <w:widowControl/>
              <w:kinsoku w:val="0"/>
              <w:overflowPunct w:val="0"/>
              <w:textAlignment w:val="baseline"/>
              <w:rPr>
                <w:rFonts w:ascii="ＭＳ 明朝" w:hAnsi="ＭＳ 明朝"/>
                <w:kern w:val="24"/>
                <w:szCs w:val="21"/>
              </w:rPr>
            </w:pPr>
            <w:r>
              <w:rPr>
                <w:rFonts w:ascii="ＭＳ 明朝" w:hAnsi="ＭＳ 明朝" w:hint="eastAsia"/>
                <w:kern w:val="24"/>
                <w:szCs w:val="21"/>
              </w:rPr>
              <w:t>自分の考えをしっかり書いている</w:t>
            </w:r>
          </w:p>
        </w:tc>
        <w:tc>
          <w:tcPr>
            <w:tcW w:w="2268" w:type="dxa"/>
            <w:shd w:val="clear" w:color="auto" w:fill="auto"/>
          </w:tcPr>
          <w:p w:rsidR="00133576" w:rsidRPr="00536A45" w:rsidRDefault="00133576" w:rsidP="00CD4C1C">
            <w:pPr>
              <w:widowControl/>
              <w:kinsoku w:val="0"/>
              <w:overflowPunct w:val="0"/>
              <w:textAlignment w:val="baseline"/>
              <w:rPr>
                <w:rFonts w:ascii="ＭＳ 明朝" w:hAnsi="ＭＳ 明朝"/>
                <w:kern w:val="24"/>
                <w:szCs w:val="21"/>
              </w:rPr>
            </w:pPr>
            <w:r w:rsidRPr="00536A45">
              <w:rPr>
                <w:rFonts w:ascii="ＭＳ 明朝" w:hAnsi="ＭＳ 明朝" w:hint="eastAsia"/>
                <w:kern w:val="24"/>
                <w:szCs w:val="21"/>
              </w:rPr>
              <w:t>学級全体を意識した問題の発見</w:t>
            </w:r>
          </w:p>
        </w:tc>
        <w:tc>
          <w:tcPr>
            <w:tcW w:w="2127" w:type="dxa"/>
            <w:shd w:val="clear" w:color="auto" w:fill="auto"/>
          </w:tcPr>
          <w:p w:rsidR="00133576" w:rsidRDefault="00133576" w:rsidP="00CD4C1C">
            <w:pPr>
              <w:widowControl/>
              <w:kinsoku w:val="0"/>
              <w:overflowPunct w:val="0"/>
              <w:jc w:val="center"/>
              <w:textAlignment w:val="baseline"/>
              <w:rPr>
                <w:rFonts w:ascii="ＭＳ 明朝" w:hAnsi="ＭＳ 明朝"/>
                <w:kern w:val="24"/>
                <w:szCs w:val="21"/>
              </w:rPr>
            </w:pPr>
          </w:p>
          <w:p w:rsidR="00133576" w:rsidRPr="00536A45" w:rsidRDefault="00133576" w:rsidP="00CD4C1C">
            <w:pPr>
              <w:widowControl/>
              <w:kinsoku w:val="0"/>
              <w:overflowPunct w:val="0"/>
              <w:jc w:val="center"/>
              <w:textAlignment w:val="baseline"/>
              <w:rPr>
                <w:rFonts w:ascii="ＭＳ 明朝" w:hAnsi="ＭＳ 明朝"/>
                <w:kern w:val="24"/>
                <w:szCs w:val="21"/>
              </w:rPr>
            </w:pPr>
            <w:r w:rsidRPr="00536A45">
              <w:rPr>
                <w:rFonts w:ascii="ＭＳ 明朝" w:hAnsi="ＭＳ 明朝" w:hint="eastAsia"/>
                <w:kern w:val="24"/>
                <w:szCs w:val="21"/>
              </w:rPr>
              <w:t>問題の確認</w:t>
            </w:r>
          </w:p>
        </w:tc>
      </w:tr>
      <w:tr w:rsidR="00133576" w:rsidRPr="00CE7F42" w:rsidTr="00CD4C1C">
        <w:tc>
          <w:tcPr>
            <w:tcW w:w="1649" w:type="dxa"/>
            <w:shd w:val="clear" w:color="auto" w:fill="auto"/>
          </w:tcPr>
          <w:p w:rsidR="00133576" w:rsidRPr="00CE7F42" w:rsidRDefault="00133576" w:rsidP="00CD4C1C">
            <w:pPr>
              <w:widowControl/>
              <w:kinsoku w:val="0"/>
              <w:overflowPunct w:val="0"/>
              <w:jc w:val="center"/>
              <w:textAlignment w:val="baseline"/>
              <w:rPr>
                <w:rFonts w:ascii="ＭＳ 明朝" w:hAnsi="ＭＳ 明朝"/>
                <w:kern w:val="24"/>
                <w:szCs w:val="21"/>
              </w:rPr>
            </w:pPr>
            <w:r w:rsidRPr="00CE7F42">
              <w:rPr>
                <w:rFonts w:ascii="ＭＳ 明朝" w:hAnsi="ＭＳ 明朝" w:hint="eastAsia"/>
                <w:kern w:val="24"/>
                <w:szCs w:val="21"/>
              </w:rPr>
              <w:t>３</w:t>
            </w:r>
          </w:p>
        </w:tc>
        <w:tc>
          <w:tcPr>
            <w:tcW w:w="2320" w:type="dxa"/>
            <w:shd w:val="clear" w:color="auto" w:fill="auto"/>
          </w:tcPr>
          <w:p w:rsidR="00133576" w:rsidRDefault="00133576" w:rsidP="00CD4C1C">
            <w:pPr>
              <w:widowControl/>
              <w:kinsoku w:val="0"/>
              <w:overflowPunct w:val="0"/>
              <w:spacing w:line="200" w:lineRule="exact"/>
              <w:textAlignment w:val="baseline"/>
              <w:rPr>
                <w:rFonts w:ascii="ＭＳ 明朝" w:hAnsi="ＭＳ 明朝"/>
                <w:kern w:val="24"/>
                <w:sz w:val="16"/>
                <w:szCs w:val="21"/>
              </w:rPr>
            </w:pPr>
            <w:r w:rsidRPr="00CE7F42">
              <w:rPr>
                <w:rFonts w:ascii="ＭＳ 明朝" w:hAnsi="ＭＳ 明朝" w:hint="eastAsia"/>
                <w:kern w:val="24"/>
                <w:sz w:val="16"/>
                <w:szCs w:val="21"/>
              </w:rPr>
              <w:t>前回の活動の振り返りを生かし、学級目標や合言葉を意識して問題を発見することができる。</w:t>
            </w: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Pr="00CE7F42" w:rsidRDefault="00133576" w:rsidP="00CD4C1C">
            <w:pPr>
              <w:widowControl/>
              <w:kinsoku w:val="0"/>
              <w:overflowPunct w:val="0"/>
              <w:spacing w:line="200" w:lineRule="exact"/>
              <w:textAlignment w:val="baseline"/>
              <w:rPr>
                <w:rFonts w:ascii="ＭＳ 明朝" w:hAnsi="ＭＳ 明朝"/>
                <w:kern w:val="24"/>
                <w:sz w:val="16"/>
                <w:szCs w:val="21"/>
              </w:rPr>
            </w:pPr>
          </w:p>
        </w:tc>
        <w:tc>
          <w:tcPr>
            <w:tcW w:w="2268" w:type="dxa"/>
            <w:shd w:val="clear" w:color="auto" w:fill="auto"/>
          </w:tcPr>
          <w:p w:rsidR="00133576" w:rsidRPr="00CE7F42" w:rsidRDefault="00133576" w:rsidP="00CD4C1C">
            <w:pPr>
              <w:widowControl/>
              <w:kinsoku w:val="0"/>
              <w:overflowPunct w:val="0"/>
              <w:spacing w:line="200" w:lineRule="exact"/>
              <w:textAlignment w:val="baseline"/>
              <w:rPr>
                <w:rFonts w:ascii="ＭＳ 明朝" w:hAnsi="ＭＳ 明朝"/>
                <w:kern w:val="24"/>
                <w:sz w:val="16"/>
                <w:szCs w:val="21"/>
              </w:rPr>
            </w:pPr>
            <w:r w:rsidRPr="00CE7F42">
              <w:rPr>
                <w:rFonts w:ascii="ＭＳ 明朝" w:hAnsi="ＭＳ 明朝" w:hint="eastAsia"/>
                <w:kern w:val="24"/>
                <w:sz w:val="16"/>
                <w:szCs w:val="21"/>
              </w:rPr>
              <w:t>前回の活動の振り返りを生かし、学級全体に関わる問題かを考え、問題を発見することができる。</w:t>
            </w:r>
          </w:p>
        </w:tc>
        <w:tc>
          <w:tcPr>
            <w:tcW w:w="2127" w:type="dxa"/>
            <w:shd w:val="clear" w:color="auto" w:fill="auto"/>
          </w:tcPr>
          <w:p w:rsidR="00133576" w:rsidRPr="00CE7F42" w:rsidRDefault="00133576" w:rsidP="00CD4C1C">
            <w:pPr>
              <w:widowControl/>
              <w:kinsoku w:val="0"/>
              <w:overflowPunct w:val="0"/>
              <w:spacing w:line="200" w:lineRule="exact"/>
              <w:textAlignment w:val="baseline"/>
              <w:rPr>
                <w:rFonts w:ascii="ＭＳ 明朝" w:hAnsi="ＭＳ 明朝"/>
                <w:kern w:val="24"/>
                <w:sz w:val="16"/>
                <w:szCs w:val="21"/>
              </w:rPr>
            </w:pPr>
            <w:r w:rsidRPr="00CE7F42">
              <w:rPr>
                <w:rFonts w:ascii="ＭＳ 明朝" w:hAnsi="ＭＳ 明朝" w:hint="eastAsia"/>
                <w:kern w:val="24"/>
                <w:sz w:val="16"/>
                <w:szCs w:val="21"/>
              </w:rPr>
              <w:t>前回の活動の振り返りや、学級目標・合言葉を意識して、議題を選定することができる。</w:t>
            </w:r>
          </w:p>
        </w:tc>
      </w:tr>
      <w:tr w:rsidR="00133576" w:rsidRPr="00CE7F42" w:rsidTr="00CD4C1C">
        <w:tc>
          <w:tcPr>
            <w:tcW w:w="1649" w:type="dxa"/>
            <w:shd w:val="clear" w:color="auto" w:fill="auto"/>
          </w:tcPr>
          <w:p w:rsidR="00133576" w:rsidRPr="00CE7F42" w:rsidRDefault="00133576" w:rsidP="00CD4C1C">
            <w:pPr>
              <w:widowControl/>
              <w:kinsoku w:val="0"/>
              <w:overflowPunct w:val="0"/>
              <w:jc w:val="center"/>
              <w:textAlignment w:val="baseline"/>
              <w:rPr>
                <w:rFonts w:ascii="ＭＳ 明朝" w:hAnsi="ＭＳ 明朝"/>
                <w:kern w:val="24"/>
                <w:szCs w:val="21"/>
              </w:rPr>
            </w:pPr>
            <w:r w:rsidRPr="00CE7F42">
              <w:rPr>
                <w:rFonts w:ascii="ＭＳ 明朝" w:hAnsi="ＭＳ 明朝" w:hint="eastAsia"/>
                <w:kern w:val="24"/>
                <w:szCs w:val="21"/>
              </w:rPr>
              <w:t>２</w:t>
            </w:r>
          </w:p>
        </w:tc>
        <w:tc>
          <w:tcPr>
            <w:tcW w:w="2320" w:type="dxa"/>
            <w:shd w:val="clear" w:color="auto" w:fill="auto"/>
          </w:tcPr>
          <w:p w:rsidR="00133576" w:rsidRDefault="00133576" w:rsidP="00CD4C1C">
            <w:pPr>
              <w:widowControl/>
              <w:kinsoku w:val="0"/>
              <w:overflowPunct w:val="0"/>
              <w:spacing w:line="200" w:lineRule="exact"/>
              <w:textAlignment w:val="baseline"/>
              <w:rPr>
                <w:rFonts w:ascii="ＭＳ 明朝" w:hAnsi="ＭＳ 明朝"/>
                <w:kern w:val="24"/>
                <w:sz w:val="16"/>
                <w:szCs w:val="21"/>
              </w:rPr>
            </w:pPr>
            <w:r w:rsidRPr="00CE7F42">
              <w:rPr>
                <w:rFonts w:ascii="ＭＳ 明朝" w:hAnsi="ＭＳ 明朝" w:hint="eastAsia"/>
                <w:kern w:val="24"/>
                <w:sz w:val="16"/>
                <w:szCs w:val="21"/>
              </w:rPr>
              <w:t>学級目標や合言葉を意識して問題を発見することができる。</w:t>
            </w: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Pr="00CE7F42" w:rsidRDefault="00133576" w:rsidP="00CD4C1C">
            <w:pPr>
              <w:widowControl/>
              <w:kinsoku w:val="0"/>
              <w:overflowPunct w:val="0"/>
              <w:spacing w:line="200" w:lineRule="exact"/>
              <w:textAlignment w:val="baseline"/>
              <w:rPr>
                <w:rFonts w:ascii="ＭＳ 明朝" w:hAnsi="ＭＳ 明朝"/>
                <w:kern w:val="24"/>
                <w:sz w:val="16"/>
                <w:szCs w:val="21"/>
              </w:rPr>
            </w:pPr>
          </w:p>
        </w:tc>
        <w:tc>
          <w:tcPr>
            <w:tcW w:w="2268" w:type="dxa"/>
            <w:shd w:val="clear" w:color="auto" w:fill="auto"/>
          </w:tcPr>
          <w:p w:rsidR="00133576" w:rsidRPr="00CE7F42" w:rsidRDefault="00133576" w:rsidP="00CD4C1C">
            <w:pPr>
              <w:widowControl/>
              <w:kinsoku w:val="0"/>
              <w:overflowPunct w:val="0"/>
              <w:spacing w:line="200" w:lineRule="exact"/>
              <w:textAlignment w:val="baseline"/>
              <w:rPr>
                <w:rFonts w:ascii="ＭＳ 明朝" w:hAnsi="ＭＳ 明朝"/>
                <w:kern w:val="24"/>
                <w:sz w:val="16"/>
                <w:szCs w:val="21"/>
              </w:rPr>
            </w:pPr>
            <w:r w:rsidRPr="00CE7F42">
              <w:rPr>
                <w:rFonts w:ascii="ＭＳ 明朝" w:hAnsi="ＭＳ 明朝" w:hint="eastAsia"/>
                <w:kern w:val="24"/>
                <w:sz w:val="16"/>
                <w:szCs w:val="21"/>
              </w:rPr>
              <w:t>学級全体に関わる問題かを考え、問題を発見することができる。</w:t>
            </w:r>
          </w:p>
        </w:tc>
        <w:tc>
          <w:tcPr>
            <w:tcW w:w="2127" w:type="dxa"/>
            <w:shd w:val="clear" w:color="auto" w:fill="auto"/>
          </w:tcPr>
          <w:p w:rsidR="00133576" w:rsidRPr="00CE7F42" w:rsidRDefault="00133576" w:rsidP="00CD4C1C">
            <w:pPr>
              <w:widowControl/>
              <w:kinsoku w:val="0"/>
              <w:overflowPunct w:val="0"/>
              <w:spacing w:line="200" w:lineRule="exact"/>
              <w:textAlignment w:val="baseline"/>
              <w:rPr>
                <w:rFonts w:ascii="ＭＳ 明朝" w:hAnsi="ＭＳ 明朝"/>
                <w:kern w:val="24"/>
                <w:sz w:val="16"/>
                <w:szCs w:val="21"/>
              </w:rPr>
            </w:pPr>
            <w:r w:rsidRPr="00CE7F42">
              <w:rPr>
                <w:rFonts w:ascii="ＭＳ 明朝" w:hAnsi="ＭＳ 明朝" w:hint="eastAsia"/>
                <w:kern w:val="24"/>
                <w:sz w:val="16"/>
                <w:szCs w:val="21"/>
              </w:rPr>
              <w:t>前回の活動の振り返りを意識して議題を選定することができる。</w:t>
            </w:r>
            <w:r w:rsidR="0037727D">
              <w:rPr>
                <w:rFonts w:ascii="ＭＳ 明朝" w:hAnsi="ＭＳ 明朝" w:hint="eastAsia"/>
                <w:kern w:val="24"/>
                <w:sz w:val="16"/>
                <w:szCs w:val="21"/>
              </w:rPr>
              <w:t>または、</w:t>
            </w:r>
            <w:r w:rsidRPr="00CE7F42">
              <w:rPr>
                <w:rFonts w:ascii="ＭＳ 明朝" w:hAnsi="ＭＳ 明朝" w:hint="eastAsia"/>
                <w:kern w:val="24"/>
                <w:sz w:val="16"/>
                <w:szCs w:val="21"/>
              </w:rPr>
              <w:t>学級目標や合言葉を意識して議題を選定することができる。</w:t>
            </w:r>
          </w:p>
        </w:tc>
      </w:tr>
      <w:tr w:rsidR="00133576" w:rsidRPr="00CE7F42" w:rsidTr="00CD4C1C">
        <w:tc>
          <w:tcPr>
            <w:tcW w:w="1649" w:type="dxa"/>
            <w:shd w:val="clear" w:color="auto" w:fill="auto"/>
          </w:tcPr>
          <w:p w:rsidR="00133576" w:rsidRPr="00CE7F42" w:rsidRDefault="00133576" w:rsidP="00CD4C1C">
            <w:pPr>
              <w:widowControl/>
              <w:kinsoku w:val="0"/>
              <w:overflowPunct w:val="0"/>
              <w:jc w:val="center"/>
              <w:textAlignment w:val="baseline"/>
              <w:rPr>
                <w:rFonts w:ascii="ＭＳ 明朝" w:hAnsi="ＭＳ 明朝"/>
                <w:kern w:val="24"/>
                <w:szCs w:val="21"/>
              </w:rPr>
            </w:pPr>
            <w:r w:rsidRPr="00CE7F42">
              <w:rPr>
                <w:rFonts w:ascii="ＭＳ 明朝" w:hAnsi="ＭＳ 明朝" w:hint="eastAsia"/>
                <w:kern w:val="24"/>
                <w:szCs w:val="21"/>
              </w:rPr>
              <w:t>１</w:t>
            </w:r>
          </w:p>
        </w:tc>
        <w:tc>
          <w:tcPr>
            <w:tcW w:w="2320" w:type="dxa"/>
            <w:shd w:val="clear" w:color="auto" w:fill="auto"/>
          </w:tcPr>
          <w:p w:rsidR="00133576" w:rsidRDefault="00133576" w:rsidP="00CD4C1C">
            <w:pPr>
              <w:widowControl/>
              <w:kinsoku w:val="0"/>
              <w:overflowPunct w:val="0"/>
              <w:spacing w:line="200" w:lineRule="exact"/>
              <w:textAlignment w:val="baseline"/>
              <w:rPr>
                <w:rFonts w:ascii="ＭＳ 明朝" w:hAnsi="ＭＳ 明朝"/>
                <w:kern w:val="24"/>
                <w:sz w:val="16"/>
                <w:szCs w:val="21"/>
              </w:rPr>
            </w:pPr>
            <w:r w:rsidRPr="00CE7F42">
              <w:rPr>
                <w:rFonts w:ascii="ＭＳ 明朝" w:hAnsi="ＭＳ 明朝" w:hint="eastAsia"/>
                <w:kern w:val="24"/>
                <w:sz w:val="16"/>
                <w:szCs w:val="21"/>
              </w:rPr>
              <w:t>学級目標や合言葉を意識した学級の問題を発見することができていない。</w:t>
            </w: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Default="00133576" w:rsidP="00CD4C1C">
            <w:pPr>
              <w:widowControl/>
              <w:kinsoku w:val="0"/>
              <w:overflowPunct w:val="0"/>
              <w:spacing w:line="200" w:lineRule="exact"/>
              <w:textAlignment w:val="baseline"/>
              <w:rPr>
                <w:rFonts w:ascii="ＭＳ 明朝" w:hAnsi="ＭＳ 明朝"/>
                <w:kern w:val="24"/>
                <w:sz w:val="16"/>
                <w:szCs w:val="21"/>
              </w:rPr>
            </w:pPr>
          </w:p>
          <w:p w:rsidR="00133576" w:rsidRPr="00CE7F42" w:rsidRDefault="00133576" w:rsidP="00CD4C1C">
            <w:pPr>
              <w:widowControl/>
              <w:kinsoku w:val="0"/>
              <w:overflowPunct w:val="0"/>
              <w:spacing w:line="200" w:lineRule="exact"/>
              <w:textAlignment w:val="baseline"/>
              <w:rPr>
                <w:rFonts w:ascii="ＭＳ 明朝" w:hAnsi="ＭＳ 明朝"/>
                <w:kern w:val="24"/>
                <w:sz w:val="16"/>
                <w:szCs w:val="21"/>
              </w:rPr>
            </w:pPr>
          </w:p>
        </w:tc>
        <w:tc>
          <w:tcPr>
            <w:tcW w:w="2268" w:type="dxa"/>
            <w:shd w:val="clear" w:color="auto" w:fill="auto"/>
          </w:tcPr>
          <w:p w:rsidR="00133576" w:rsidRPr="00CE7F42" w:rsidRDefault="00133576" w:rsidP="00CD4C1C">
            <w:pPr>
              <w:widowControl/>
              <w:kinsoku w:val="0"/>
              <w:overflowPunct w:val="0"/>
              <w:spacing w:line="200" w:lineRule="exact"/>
              <w:textAlignment w:val="baseline"/>
              <w:rPr>
                <w:rFonts w:ascii="ＭＳ 明朝" w:hAnsi="ＭＳ 明朝"/>
                <w:kern w:val="24"/>
                <w:sz w:val="16"/>
                <w:szCs w:val="21"/>
              </w:rPr>
            </w:pPr>
            <w:r w:rsidRPr="00CE7F42">
              <w:rPr>
                <w:rFonts w:ascii="ＭＳ 明朝" w:hAnsi="ＭＳ 明朝" w:hint="eastAsia"/>
                <w:kern w:val="24"/>
                <w:sz w:val="16"/>
                <w:szCs w:val="21"/>
              </w:rPr>
              <w:t>学級全体に関わる問題かを意識した問題を発見することができていない。</w:t>
            </w:r>
          </w:p>
        </w:tc>
        <w:tc>
          <w:tcPr>
            <w:tcW w:w="2127" w:type="dxa"/>
            <w:shd w:val="clear" w:color="auto" w:fill="auto"/>
          </w:tcPr>
          <w:p w:rsidR="00133576" w:rsidRPr="00CE7F42" w:rsidRDefault="00133576" w:rsidP="00CD4C1C">
            <w:pPr>
              <w:widowControl/>
              <w:kinsoku w:val="0"/>
              <w:overflowPunct w:val="0"/>
              <w:spacing w:line="200" w:lineRule="exact"/>
              <w:textAlignment w:val="baseline"/>
              <w:rPr>
                <w:rFonts w:ascii="ＭＳ 明朝" w:hAnsi="ＭＳ 明朝"/>
                <w:kern w:val="24"/>
                <w:sz w:val="16"/>
                <w:szCs w:val="21"/>
              </w:rPr>
            </w:pPr>
            <w:r w:rsidRPr="00CE7F42">
              <w:rPr>
                <w:rFonts w:ascii="ＭＳ 明朝" w:hAnsi="ＭＳ 明朝" w:hint="eastAsia"/>
                <w:kern w:val="24"/>
                <w:sz w:val="16"/>
                <w:szCs w:val="21"/>
              </w:rPr>
              <w:t>前回の活動の振り返りや、学級目標・合言葉を意識した議題の選定ができていない。</w:t>
            </w:r>
          </w:p>
        </w:tc>
      </w:tr>
    </w:tbl>
    <w:p w:rsidR="00F77B96" w:rsidRDefault="00CD4C1C">
      <w:pPr>
        <w:rPr>
          <w:rFonts w:ascii="YOzFontAA97 Bold" w:eastAsia="YOzFontAA97 Bold" w:hAnsi="YOzFontAA97 Bold"/>
          <w:sz w:val="24"/>
        </w:rPr>
      </w:pPr>
      <w:r>
        <w:rPr>
          <w:rFonts w:hint="eastAsia"/>
        </w:rPr>
        <w:t xml:space="preserve">　　</w:t>
      </w:r>
      <w:r w:rsidRPr="00CD4C1C">
        <w:rPr>
          <w:rFonts w:ascii="YOzFontAA97 Bold" w:eastAsia="YOzFontAA97 Bold" w:hAnsi="YOzFontAA97 Bold" w:hint="eastAsia"/>
          <w:sz w:val="24"/>
        </w:rPr>
        <w:t xml:space="preserve">月　　日（　）　議題（　　　　　　　　</w:t>
      </w:r>
      <w:r>
        <w:rPr>
          <w:rFonts w:ascii="YOzFontAA97 Bold" w:eastAsia="YOzFontAA97 Bold" w:hAnsi="YOzFontAA97 Bold" w:hint="eastAsia"/>
          <w:sz w:val="24"/>
        </w:rPr>
        <w:t xml:space="preserve">　　　　　</w:t>
      </w:r>
      <w:r w:rsidRPr="00CD4C1C">
        <w:rPr>
          <w:rFonts w:ascii="YOzFontAA97 Bold" w:eastAsia="YOzFontAA97 Bold" w:hAnsi="YOzFontAA97 Bold" w:hint="eastAsia"/>
          <w:sz w:val="24"/>
        </w:rPr>
        <w:t xml:space="preserve">　　　　　）　</w:t>
      </w:r>
    </w:p>
    <w:p w:rsidR="00CD4C1C" w:rsidRPr="00CD4C1C" w:rsidRDefault="00CD4C1C">
      <w:pPr>
        <w:rPr>
          <w:rFonts w:ascii="YOzFontAA97 Bold" w:eastAsia="YOzFontAA97 Bold" w:hAnsi="YOzFontAA97 Bold" w:hint="eastAsia"/>
        </w:rPr>
      </w:pPr>
      <w:r>
        <w:rPr>
          <w:rFonts w:ascii="YOzFontAA97 Bold" w:eastAsia="YOzFontAA97 Bold" w:hAnsi="YOzFontAA97 Bold" w:hint="eastAsia"/>
          <w:sz w:val="24"/>
        </w:rPr>
        <w:t>※空欄部分に見取った児童の</w:t>
      </w:r>
      <w:bookmarkStart w:id="0" w:name="_GoBack"/>
      <w:bookmarkEnd w:id="0"/>
      <w:r>
        <w:rPr>
          <w:rFonts w:ascii="YOzFontAA97 Bold" w:eastAsia="YOzFontAA97 Bold" w:hAnsi="YOzFontAA97 Bold" w:hint="eastAsia"/>
          <w:sz w:val="24"/>
        </w:rPr>
        <w:t>名前を書き入れます。</w:t>
      </w:r>
    </w:p>
    <w:sectPr w:rsidR="00CD4C1C" w:rsidRPr="00CD4C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OzFontAA97 Bold">
    <w:panose1 w:val="02000600000000000000"/>
    <w:charset w:val="80"/>
    <w:family w:val="auto"/>
    <w:pitch w:val="variable"/>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76"/>
    <w:rsid w:val="00133576"/>
    <w:rsid w:val="0037727D"/>
    <w:rsid w:val="0040542A"/>
    <w:rsid w:val="00CD4C1C"/>
    <w:rsid w:val="00F7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EC7CBF"/>
  <w15:chartTrackingRefBased/>
  <w15:docId w15:val="{FEBC6B34-EE86-4E5A-B4B4-B258141A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57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35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35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沖縄県立総合教育センター</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mkprof</cp:lastModifiedBy>
  <cp:revision>3</cp:revision>
  <cp:lastPrinted>2018-05-31T02:25:00Z</cp:lastPrinted>
  <dcterms:created xsi:type="dcterms:W3CDTF">2018-06-04T00:51:00Z</dcterms:created>
  <dcterms:modified xsi:type="dcterms:W3CDTF">2018-09-18T06:18:00Z</dcterms:modified>
</cp:coreProperties>
</file>